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E06DEAB"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743BF1">
        <w:rPr>
          <w:rFonts w:ascii="Arial" w:eastAsia="MS Mincho" w:hAnsi="Arial"/>
          <w:b/>
          <w:sz w:val="24"/>
          <w:szCs w:val="24"/>
          <w:lang w:val="en-GB" w:eastAsia="x-none"/>
        </w:rPr>
        <w:t>-RAN WG2 Meeting #105</w:t>
      </w:r>
      <w:r w:rsidR="006F7682">
        <w:rPr>
          <w:rFonts w:ascii="Arial" w:eastAsia="MS Mincho" w:hAnsi="Arial"/>
          <w:b/>
          <w:sz w:val="24"/>
          <w:szCs w:val="24"/>
          <w:lang w:val="en-GB" w:eastAsia="x-none"/>
        </w:rPr>
        <w:t>bis</w:t>
      </w:r>
      <w:r w:rsidR="006F7682">
        <w:rPr>
          <w:rFonts w:ascii="Arial" w:eastAsia="MS Mincho" w:hAnsi="Arial"/>
          <w:b/>
          <w:sz w:val="24"/>
          <w:szCs w:val="24"/>
          <w:lang w:val="en-GB" w:eastAsia="x-none"/>
        </w:rPr>
        <w:tab/>
        <w:t>R2-</w:t>
      </w:r>
      <w:r w:rsidR="000227B2" w:rsidRPr="000227B2">
        <w:rPr>
          <w:rFonts w:ascii="Arial" w:eastAsia="MS Mincho" w:hAnsi="Arial"/>
          <w:b/>
          <w:sz w:val="24"/>
          <w:szCs w:val="24"/>
          <w:lang w:val="en-GB" w:eastAsia="x-none"/>
        </w:rPr>
        <w:t>1903724</w:t>
      </w:r>
    </w:p>
    <w:p w14:paraId="6877EE3A" w14:textId="329B09CD" w:rsidR="00895250" w:rsidRPr="00BA4886" w:rsidRDefault="006F7682"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Xi’an, China, 8-12 April</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23D8B647"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743BF1">
        <w:rPr>
          <w:rFonts w:ascii="Arial" w:hAnsi="Arial" w:cs="Arial"/>
          <w:szCs w:val="24"/>
        </w:rPr>
        <w:t>11.</w:t>
      </w:r>
      <w:r w:rsidR="000227B2">
        <w:rPr>
          <w:rFonts w:ascii="Arial" w:hAnsi="Arial" w:cs="Arial"/>
          <w:szCs w:val="24"/>
        </w:rPr>
        <w:t>4</w:t>
      </w:r>
      <w:r w:rsidR="00743BF1">
        <w:rPr>
          <w:rFonts w:ascii="Arial" w:hAnsi="Arial" w:cs="Arial"/>
          <w:szCs w:val="24"/>
        </w:rPr>
        <w:t>.</w:t>
      </w:r>
      <w:r w:rsidR="000227B2">
        <w:rPr>
          <w:rFonts w:ascii="Arial" w:hAnsi="Arial" w:cs="Arial"/>
          <w:szCs w:val="24"/>
        </w:rPr>
        <w:t>6a</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148EEB97"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A67FF3">
        <w:rPr>
          <w:b/>
          <w:sz w:val="24"/>
          <w:lang w:val="en-GB"/>
        </w:rPr>
        <w:t>Use of communication range on HARQ operation</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bookmarkEnd w:id="0"/>
    <w:bookmarkEnd w:id="1"/>
    <w:p w14:paraId="358F7D29" w14:textId="77777777" w:rsidR="006F4A4B" w:rsidRPr="00044FF3" w:rsidRDefault="006F4A4B" w:rsidP="006F4A4B">
      <w:pPr>
        <w:pStyle w:val="1"/>
      </w:pPr>
      <w:r w:rsidRPr="00E32E8E">
        <w:t>Introduction</w:t>
      </w:r>
      <w:bookmarkStart w:id="2" w:name="_Ref490149211"/>
    </w:p>
    <w:p w14:paraId="5CC16F73" w14:textId="0CFD9044" w:rsidR="006F4A4B" w:rsidRPr="00884B31" w:rsidRDefault="006F4A4B" w:rsidP="006F4A4B">
      <w:pPr>
        <w:rPr>
          <w:rFonts w:eastAsia="SimSun"/>
        </w:rPr>
      </w:pPr>
      <w:r>
        <w:rPr>
          <w:rFonts w:eastAsia="SimSun"/>
        </w:rPr>
        <w:t xml:space="preserve">This paper discusses how </w:t>
      </w:r>
      <w:r w:rsidR="00201955">
        <w:rPr>
          <w:rFonts w:eastAsia="SimSun"/>
        </w:rPr>
        <w:t>AS layer</w:t>
      </w:r>
      <w:r>
        <w:rPr>
          <w:rFonts w:eastAsia="SimSun"/>
        </w:rPr>
        <w:t xml:space="preserve"> utilizes communication range parameter that associated with </w:t>
      </w:r>
      <w:r w:rsidR="00010F18">
        <w:rPr>
          <w:rFonts w:eastAsia="SimSun"/>
        </w:rPr>
        <w:t>HARQ operation</w:t>
      </w:r>
      <w:r>
        <w:rPr>
          <w:rFonts w:eastAsia="SimSun"/>
        </w:rPr>
        <w:t xml:space="preserve">. </w:t>
      </w:r>
    </w:p>
    <w:p w14:paraId="03DD7BA7" w14:textId="77777777" w:rsidR="006F4A4B" w:rsidRPr="00FC71EC" w:rsidRDefault="006F4A4B" w:rsidP="006F4A4B">
      <w:pPr>
        <w:pStyle w:val="1"/>
        <w:overflowPunct w:val="0"/>
        <w:autoSpaceDE w:val="0"/>
        <w:autoSpaceDN w:val="0"/>
        <w:adjustRightInd w:val="0"/>
        <w:textAlignment w:val="baseline"/>
      </w:pPr>
      <w:r w:rsidRPr="00E32E8E">
        <w:t>Discussion</w:t>
      </w:r>
      <w:bookmarkEnd w:id="2"/>
    </w:p>
    <w:p w14:paraId="62DD6638" w14:textId="769425F1" w:rsidR="006F4A4B" w:rsidRPr="002331B3" w:rsidRDefault="006F4A4B" w:rsidP="006F4A4B">
      <w:pPr>
        <w:rPr>
          <w:rFonts w:cs="Arial"/>
        </w:rPr>
      </w:pPr>
      <w:bookmarkStart w:id="3" w:name="_Toc528574709"/>
      <w:bookmarkStart w:id="4" w:name="_Toc528856104"/>
      <w:bookmarkStart w:id="5" w:name="_Ref528871416"/>
      <w:bookmarkStart w:id="6" w:name="_Ref528871423"/>
      <w:r w:rsidRPr="002331B3">
        <w:rPr>
          <w:rFonts w:cs="Arial"/>
        </w:rPr>
        <w:t xml:space="preserve">In the recent SA2 #129 meeting, the role of communication range parameter has been clarified, as updated in TR 23.786 solution 19. In short, communication range is not regarded as a </w:t>
      </w:r>
      <w:proofErr w:type="spellStart"/>
      <w:r w:rsidRPr="002331B3">
        <w:rPr>
          <w:rFonts w:cs="Arial"/>
        </w:rPr>
        <w:t>QoS</w:t>
      </w:r>
      <w:proofErr w:type="spellEnd"/>
      <w:r w:rsidRPr="002331B3">
        <w:rPr>
          <w:rFonts w:cs="Arial"/>
        </w:rPr>
        <w:t xml:space="preserve"> parameter, instead upon RAN decisions it can be provided by V2X layer to </w:t>
      </w:r>
      <w:r w:rsidR="00201955">
        <w:rPr>
          <w:rFonts w:cs="Arial"/>
        </w:rPr>
        <w:t>AS layer</w:t>
      </w:r>
      <w:r w:rsidRPr="002331B3">
        <w:rPr>
          <w:rFonts w:cs="Arial"/>
        </w:rPr>
        <w:t xml:space="preserve"> for e.g. optimization purpose.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6F4A4B" w:rsidRPr="007644D5" w14:paraId="19043984" w14:textId="77777777" w:rsidTr="00E13C76">
        <w:trPr>
          <w:trHeight w:val="1623"/>
        </w:trPr>
        <w:tc>
          <w:tcPr>
            <w:tcW w:w="9728" w:type="dxa"/>
            <w:shd w:val="clear" w:color="auto" w:fill="auto"/>
          </w:tcPr>
          <w:p w14:paraId="62A76728" w14:textId="77777777" w:rsidR="006F4A4B" w:rsidRPr="002331B3" w:rsidRDefault="006F4A4B" w:rsidP="00E13C76">
            <w:pPr>
              <w:rPr>
                <w:rFonts w:cs="Arial"/>
                <w:lang w:eastAsia="ko-KR"/>
              </w:rPr>
            </w:pPr>
            <w:r w:rsidRPr="002331B3">
              <w:rPr>
                <w:rFonts w:cs="Arial"/>
                <w:lang w:eastAsia="ko-KR"/>
              </w:rPr>
              <w:t>TR 23.786 Solution #19:</w:t>
            </w:r>
          </w:p>
          <w:p w14:paraId="4B2D4A30" w14:textId="77777777" w:rsidR="006F4A4B" w:rsidRPr="002331B3" w:rsidRDefault="006F4A4B" w:rsidP="00E13C76">
            <w:pPr>
              <w:rPr>
                <w:rFonts w:cs="Arial"/>
                <w:lang w:eastAsia="ko-KR"/>
              </w:rPr>
            </w:pPr>
            <w:r w:rsidRPr="002331B3">
              <w:rPr>
                <w:rFonts w:cs="Arial"/>
                <w:lang w:eastAsia="ko-KR"/>
              </w:rPr>
              <w:tab/>
              <w:t xml:space="preserve">V2X Layer informs the Access Stratum Layer of the communication type, and </w:t>
            </w:r>
            <w:proofErr w:type="spellStart"/>
            <w:r w:rsidRPr="002331B3">
              <w:rPr>
                <w:rFonts w:cs="Arial"/>
                <w:lang w:eastAsia="ko-KR"/>
              </w:rPr>
              <w:t>QoS</w:t>
            </w:r>
            <w:proofErr w:type="spellEnd"/>
            <w:r w:rsidRPr="002331B3">
              <w:rPr>
                <w:rFonts w:cs="Arial"/>
                <w:lang w:eastAsia="ko-KR"/>
              </w:rPr>
              <w:t xml:space="preserve"> parameters (including 5QI) and Range for the group communication traffic;</w:t>
            </w:r>
          </w:p>
          <w:p w14:paraId="2383F96B" w14:textId="77777777" w:rsidR="006F4A4B" w:rsidRPr="002331B3" w:rsidRDefault="006F4A4B" w:rsidP="00E13C76">
            <w:pPr>
              <w:rPr>
                <w:rFonts w:cs="Arial"/>
              </w:rPr>
            </w:pPr>
            <w:r w:rsidRPr="002331B3">
              <w:rPr>
                <w:rFonts w:cs="Arial"/>
              </w:rPr>
              <w:t>NOTE 1:</w:t>
            </w:r>
            <w:r w:rsidRPr="002331B3">
              <w:rPr>
                <w:rFonts w:cs="Arial"/>
              </w:rPr>
              <w:tab/>
              <w:t>Range may also be provided to AS Layer for the dynamic group communication operations, depending on RAN decisions.</w:t>
            </w:r>
          </w:p>
        </w:tc>
      </w:tr>
    </w:tbl>
    <w:p w14:paraId="521F46E8" w14:textId="77777777" w:rsidR="006F4A4B" w:rsidRPr="002331B3" w:rsidRDefault="006F4A4B" w:rsidP="006F4A4B">
      <w:pPr>
        <w:pStyle w:val="Observation"/>
        <w:numPr>
          <w:ilvl w:val="0"/>
          <w:numId w:val="0"/>
        </w:numPr>
        <w:rPr>
          <w:rFonts w:cs="Arial"/>
        </w:rPr>
      </w:pPr>
    </w:p>
    <w:p w14:paraId="1937C81D" w14:textId="1530E365" w:rsidR="00EF6526" w:rsidRPr="00EF6526" w:rsidRDefault="00EF6526" w:rsidP="006F4A4B">
      <w:pPr>
        <w:rPr>
          <w:rFonts w:cs="Arial"/>
          <w:b/>
        </w:rPr>
      </w:pPr>
      <w:r w:rsidRPr="00EF6526">
        <w:rPr>
          <w:rFonts w:cs="Arial"/>
          <w:b/>
        </w:rPr>
        <w:t>Observation 1</w:t>
      </w:r>
      <w:r>
        <w:rPr>
          <w:rFonts w:cs="Arial"/>
          <w:b/>
        </w:rPr>
        <w:t xml:space="preserve">: </w:t>
      </w:r>
      <w:r w:rsidRPr="00EF6526">
        <w:rPr>
          <w:rFonts w:cs="Arial"/>
          <w:b/>
        </w:rPr>
        <w:t xml:space="preserve">Communication range is a parameter that can be associated with a V2X service and provided from upper layer to </w:t>
      </w:r>
      <w:r w:rsidR="00201955">
        <w:rPr>
          <w:rFonts w:cs="Arial"/>
          <w:b/>
        </w:rPr>
        <w:t>AS layer</w:t>
      </w:r>
      <w:r w:rsidRPr="00EF6526">
        <w:rPr>
          <w:rFonts w:cs="Arial"/>
          <w:b/>
        </w:rPr>
        <w:t xml:space="preserve">. However, it is not seen as a </w:t>
      </w:r>
      <w:proofErr w:type="spellStart"/>
      <w:r w:rsidRPr="00EF6526">
        <w:rPr>
          <w:rFonts w:cs="Arial"/>
          <w:b/>
        </w:rPr>
        <w:t>QoS</w:t>
      </w:r>
      <w:proofErr w:type="spellEnd"/>
      <w:r w:rsidRPr="00EF6526">
        <w:rPr>
          <w:rFonts w:cs="Arial"/>
          <w:b/>
        </w:rPr>
        <w:t xml:space="preserve"> metric which has to be achieved by </w:t>
      </w:r>
      <w:r w:rsidR="00201955">
        <w:rPr>
          <w:rFonts w:cs="Arial"/>
          <w:b/>
        </w:rPr>
        <w:t>AS layer</w:t>
      </w:r>
      <w:r w:rsidRPr="00EF6526">
        <w:rPr>
          <w:rFonts w:cs="Arial"/>
          <w:b/>
        </w:rPr>
        <w:t>.</w:t>
      </w:r>
    </w:p>
    <w:p w14:paraId="01F69C8C" w14:textId="77777777" w:rsidR="00EF6526" w:rsidRDefault="00EF6526" w:rsidP="006F4A4B">
      <w:pPr>
        <w:rPr>
          <w:rFonts w:cs="Arial"/>
        </w:rPr>
      </w:pPr>
    </w:p>
    <w:p w14:paraId="59A8E070" w14:textId="02D41FB1" w:rsidR="006F4A4B" w:rsidRDefault="006F4A4B" w:rsidP="006F4A4B">
      <w:pPr>
        <w:rPr>
          <w:rFonts w:cs="Arial"/>
        </w:rPr>
      </w:pPr>
      <w:r w:rsidRPr="002331B3">
        <w:rPr>
          <w:rFonts w:cs="Arial"/>
        </w:rPr>
        <w:t xml:space="preserve">From </w:t>
      </w:r>
      <w:r w:rsidR="00201955">
        <w:rPr>
          <w:rFonts w:cs="Arial"/>
        </w:rPr>
        <w:t xml:space="preserve">AS layer </w:t>
      </w:r>
      <w:r w:rsidRPr="002331B3">
        <w:rPr>
          <w:rFonts w:cs="Arial"/>
        </w:rPr>
        <w:t xml:space="preserve">perspective, </w:t>
      </w:r>
      <w:r>
        <w:rPr>
          <w:rFonts w:cs="Arial"/>
        </w:rPr>
        <w:t xml:space="preserve">although there is no way to precisely measure the communication range since GPS info is not available at </w:t>
      </w:r>
      <w:r w:rsidR="00201955">
        <w:rPr>
          <w:rFonts w:cs="Arial"/>
        </w:rPr>
        <w:t>AS layer</w:t>
      </w:r>
      <w:r>
        <w:rPr>
          <w:rFonts w:cs="Arial"/>
        </w:rPr>
        <w:t>, it is still possible to estimate the distance between the TX UE and RX UE:</w:t>
      </w:r>
    </w:p>
    <w:p w14:paraId="33E9BD99" w14:textId="77777777" w:rsidR="001B47DF" w:rsidRDefault="006F4A4B" w:rsidP="001B47DF">
      <w:pPr>
        <w:pStyle w:val="a"/>
        <w:numPr>
          <w:ilvl w:val="0"/>
          <w:numId w:val="25"/>
        </w:numPr>
        <w:spacing w:after="120"/>
        <w:jc w:val="both"/>
        <w:rPr>
          <w:rFonts w:cs="Arial"/>
        </w:rPr>
      </w:pPr>
      <w:r>
        <w:rPr>
          <w:rFonts w:cs="Arial"/>
        </w:rPr>
        <w:t>Based on received signal power, e.g. lower received power indicates larger distance</w:t>
      </w:r>
    </w:p>
    <w:p w14:paraId="19FEED52" w14:textId="291B725F" w:rsidR="0068059D" w:rsidRPr="001B47DF" w:rsidRDefault="001B47DF" w:rsidP="001B47DF">
      <w:pPr>
        <w:pStyle w:val="a"/>
        <w:numPr>
          <w:ilvl w:val="0"/>
          <w:numId w:val="25"/>
        </w:numPr>
        <w:spacing w:after="120"/>
        <w:jc w:val="both"/>
        <w:rPr>
          <w:rFonts w:cs="Arial"/>
        </w:rPr>
      </w:pPr>
      <w:r w:rsidRPr="001B47DF">
        <w:rPr>
          <w:rFonts w:cs="Arial"/>
        </w:rPr>
        <w:t>Based on TA to estimate distance.</w:t>
      </w:r>
    </w:p>
    <w:p w14:paraId="7C66FAC5" w14:textId="4F4670C4" w:rsidR="006F4A4B" w:rsidRDefault="006F4A4B" w:rsidP="006F4A4B">
      <w:pPr>
        <w:rPr>
          <w:rFonts w:cs="Arial"/>
        </w:rPr>
      </w:pPr>
      <w:r>
        <w:rPr>
          <w:rFonts w:cs="Arial"/>
        </w:rPr>
        <w:t xml:space="preserve">In our view, </w:t>
      </w:r>
      <w:r w:rsidR="001B47DF">
        <w:rPr>
          <w:rFonts w:cs="Arial"/>
        </w:rPr>
        <w:t xml:space="preserve">first </w:t>
      </w:r>
      <w:r w:rsidR="00201955">
        <w:rPr>
          <w:rFonts w:cs="Arial"/>
        </w:rPr>
        <w:t>method</w:t>
      </w:r>
      <w:r>
        <w:rPr>
          <w:rFonts w:cs="Arial"/>
        </w:rPr>
        <w:t xml:space="preserve"> provide</w:t>
      </w:r>
      <w:r w:rsidR="00201955">
        <w:rPr>
          <w:rFonts w:cs="Arial"/>
        </w:rPr>
        <w:t xml:space="preserve">s reasonable </w:t>
      </w:r>
      <w:r w:rsidR="001B47DF">
        <w:rPr>
          <w:rFonts w:cs="Arial"/>
        </w:rPr>
        <w:t>range</w:t>
      </w:r>
      <w:r w:rsidR="00201955">
        <w:rPr>
          <w:rFonts w:cs="Arial"/>
        </w:rPr>
        <w:t xml:space="preserve"> estimation, which is</w:t>
      </w:r>
      <w:r>
        <w:rPr>
          <w:rFonts w:cs="Arial"/>
        </w:rPr>
        <w:t xml:space="preserve"> simpler and more efficient.</w:t>
      </w:r>
    </w:p>
    <w:p w14:paraId="4402DAF5" w14:textId="77777777" w:rsidR="00EF6526" w:rsidRDefault="00EF6526" w:rsidP="006F4A4B">
      <w:pPr>
        <w:rPr>
          <w:rFonts w:cs="Arial"/>
        </w:rPr>
      </w:pPr>
    </w:p>
    <w:p w14:paraId="3C96C7F0" w14:textId="098A5E02" w:rsidR="00EF6526" w:rsidRPr="00EF6526" w:rsidRDefault="00EF6526" w:rsidP="006F4A4B">
      <w:pPr>
        <w:rPr>
          <w:rFonts w:cs="Arial"/>
          <w:b/>
        </w:rPr>
      </w:pPr>
      <w:r w:rsidRPr="00EF6526">
        <w:rPr>
          <w:rFonts w:cs="Arial"/>
          <w:b/>
        </w:rPr>
        <w:t>Observation 2</w:t>
      </w:r>
      <w:r>
        <w:rPr>
          <w:rFonts w:cs="Arial"/>
          <w:b/>
        </w:rPr>
        <w:t xml:space="preserve">: </w:t>
      </w:r>
      <w:r w:rsidRPr="00EF6526">
        <w:rPr>
          <w:rFonts w:cs="Arial"/>
          <w:b/>
        </w:rPr>
        <w:t>At access stratum, distance between TX UE and RX UE can be estimated based on received signal power.</w:t>
      </w:r>
    </w:p>
    <w:p w14:paraId="65A517AE" w14:textId="77777777" w:rsidR="00EF6526" w:rsidRDefault="00EF6526" w:rsidP="006F4A4B">
      <w:pPr>
        <w:rPr>
          <w:rFonts w:cs="Arial"/>
        </w:rPr>
      </w:pPr>
    </w:p>
    <w:p w14:paraId="01CFBD70" w14:textId="0D460F02" w:rsidR="006F4A4B" w:rsidRDefault="006F4A4B" w:rsidP="006F4A4B">
      <w:pPr>
        <w:rPr>
          <w:rFonts w:cs="Arial"/>
        </w:rPr>
      </w:pPr>
      <w:r>
        <w:rPr>
          <w:rFonts w:cs="Arial"/>
        </w:rPr>
        <w:t xml:space="preserve">Besides, </w:t>
      </w:r>
      <w:r w:rsidR="00B75F5E">
        <w:rPr>
          <w:rFonts w:cs="Arial"/>
        </w:rPr>
        <w:t>AS layer</w:t>
      </w:r>
      <w:r>
        <w:rPr>
          <w:rFonts w:cs="Arial"/>
        </w:rPr>
        <w:t xml:space="preserve"> may try to fulfil the communication range requirement in a best effort fashion. Taking </w:t>
      </w:r>
      <w:proofErr w:type="spellStart"/>
      <w:r>
        <w:rPr>
          <w:rFonts w:cs="Arial"/>
        </w:rPr>
        <w:t>groupcast</w:t>
      </w:r>
      <w:proofErr w:type="spellEnd"/>
      <w:r>
        <w:rPr>
          <w:rFonts w:cs="Arial"/>
        </w:rPr>
        <w:t xml:space="preserve"> for instance, assuming RX UEs who fail to receive the packet will send a NACK to the TX UE, in order to limit the traffic load while sustain the reliability within required communication range, TX UE can be configured to only response, i.e. schedule a retransmission, to those RX UEs that are estimated to be within the communication range. For instance, TX UE may </w:t>
      </w:r>
      <w:r w:rsidR="00B75F5E">
        <w:rPr>
          <w:rFonts w:cs="Arial"/>
        </w:rPr>
        <w:t xml:space="preserve">terminate HARQ retransmission </w:t>
      </w:r>
      <w:r>
        <w:rPr>
          <w:rFonts w:cs="Arial"/>
        </w:rPr>
        <w:t xml:space="preserve">on the basis of </w:t>
      </w:r>
      <w:r>
        <w:rPr>
          <w:rFonts w:cs="Arial"/>
        </w:rPr>
        <w:lastRenderedPageBreak/>
        <w:t>the energy of the PSFCH and</w:t>
      </w:r>
      <w:r w:rsidR="00B75F5E">
        <w:rPr>
          <w:rFonts w:cs="Arial"/>
        </w:rPr>
        <w:t xml:space="preserve"> treat</w:t>
      </w:r>
      <w:r>
        <w:rPr>
          <w:rFonts w:cs="Arial"/>
        </w:rPr>
        <w:t xml:space="preserve"> a HARQ feedback only if the energy of the associated PSFCH</w:t>
      </w:r>
      <w:r w:rsidR="00B75F5E">
        <w:rPr>
          <w:rFonts w:cs="Arial"/>
        </w:rPr>
        <w:t xml:space="preserve"> is above a certain threshold.</w:t>
      </w:r>
    </w:p>
    <w:p w14:paraId="252E52E8" w14:textId="77777777" w:rsidR="006F4A4B" w:rsidRDefault="006F4A4B" w:rsidP="006F4A4B">
      <w:pPr>
        <w:rPr>
          <w:rFonts w:cs="Arial"/>
        </w:rPr>
      </w:pPr>
    </w:p>
    <w:p w14:paraId="636CDB6D" w14:textId="62108E08" w:rsidR="00EF6526" w:rsidRPr="00C23264" w:rsidRDefault="00EF6526" w:rsidP="006F4A4B">
      <w:pPr>
        <w:rPr>
          <w:rFonts w:cs="Arial"/>
          <w:b/>
        </w:rPr>
      </w:pPr>
      <w:r>
        <w:rPr>
          <w:rFonts w:cs="Arial"/>
          <w:b/>
        </w:rPr>
        <w:t xml:space="preserve">Proposal 1: </w:t>
      </w:r>
      <w:r w:rsidRPr="00EF6526">
        <w:rPr>
          <w:rFonts w:cs="Arial"/>
          <w:b/>
        </w:rPr>
        <w:t xml:space="preserve">TX UE may </w:t>
      </w:r>
      <w:r w:rsidR="00B75F5E">
        <w:rPr>
          <w:rFonts w:cs="Arial"/>
          <w:b/>
        </w:rPr>
        <w:t>terminate</w:t>
      </w:r>
      <w:r w:rsidRPr="00EF6526">
        <w:rPr>
          <w:rFonts w:cs="Arial"/>
          <w:b/>
        </w:rPr>
        <w:t xml:space="preserve"> HARQ </w:t>
      </w:r>
      <w:r w:rsidR="00B75F5E">
        <w:rPr>
          <w:rFonts w:cs="Arial"/>
          <w:b/>
        </w:rPr>
        <w:t xml:space="preserve">retransmission </w:t>
      </w:r>
      <w:r w:rsidR="00B75F5E" w:rsidRPr="00B75F5E">
        <w:rPr>
          <w:rFonts w:cs="Arial"/>
          <w:b/>
        </w:rPr>
        <w:t>on the basis of the energy of the PSFCH and treat a HARQ feedback only if the energy of the associated PSFCH is above a certain threshold.</w:t>
      </w:r>
    </w:p>
    <w:p w14:paraId="2EDA76AC" w14:textId="74A2430C" w:rsidR="00E1647F" w:rsidRDefault="00E1647F" w:rsidP="00E1647F">
      <w:pPr>
        <w:jc w:val="center"/>
      </w:pPr>
      <w:r>
        <w:rPr>
          <w:noProof/>
          <w:lang w:eastAsia="zh-CN"/>
        </w:rPr>
        <w:drawing>
          <wp:inline distT="0" distB="0" distL="0" distR="0" wp14:anchorId="4EF9E3FA" wp14:editId="008F01E4">
            <wp:extent cx="3619500" cy="2469379"/>
            <wp:effectExtent l="0" t="0" r="0" b="762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6796" cy="2481179"/>
                    </a:xfrm>
                    <a:prstGeom prst="rect">
                      <a:avLst/>
                    </a:prstGeom>
                    <a:noFill/>
                    <a:ln>
                      <a:noFill/>
                    </a:ln>
                  </pic:spPr>
                </pic:pic>
              </a:graphicData>
            </a:graphic>
          </wp:inline>
        </w:drawing>
      </w:r>
    </w:p>
    <w:p w14:paraId="4C27DA22" w14:textId="77777777" w:rsidR="00E1647F" w:rsidRDefault="00E1647F" w:rsidP="006F4A4B"/>
    <w:p w14:paraId="2FE81B93" w14:textId="7D0EDEC3" w:rsidR="00E1647F" w:rsidRPr="00E1647F" w:rsidRDefault="00E1647F" w:rsidP="00E1647F">
      <w:pPr>
        <w:jc w:val="center"/>
        <w:rPr>
          <w:b/>
        </w:rPr>
      </w:pPr>
      <w:r w:rsidRPr="00E1647F">
        <w:rPr>
          <w:b/>
        </w:rPr>
        <w:t xml:space="preserve">Figure 1: TX UE re-transmit when NACK is from in-range </w:t>
      </w:r>
      <w:r>
        <w:rPr>
          <w:b/>
        </w:rPr>
        <w:t xml:space="preserve">RX </w:t>
      </w:r>
      <w:r w:rsidRPr="00E1647F">
        <w:rPr>
          <w:b/>
        </w:rPr>
        <w:t>UE.</w:t>
      </w:r>
    </w:p>
    <w:p w14:paraId="1E32BD46" w14:textId="77777777" w:rsidR="00E1647F" w:rsidRDefault="00E1647F" w:rsidP="006F4A4B"/>
    <w:p w14:paraId="1B93FB7A" w14:textId="48EB91CB" w:rsidR="00E1647F" w:rsidRDefault="00E1647F" w:rsidP="00E1647F">
      <w:pPr>
        <w:jc w:val="center"/>
      </w:pPr>
      <w:r>
        <w:rPr>
          <w:noProof/>
          <w:lang w:eastAsia="zh-CN"/>
        </w:rPr>
        <w:drawing>
          <wp:inline distT="0" distB="0" distL="0" distR="0" wp14:anchorId="57BAA5BF" wp14:editId="409D1541">
            <wp:extent cx="3655833" cy="2509975"/>
            <wp:effectExtent l="0" t="0" r="1905" b="508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1825" cy="2527820"/>
                    </a:xfrm>
                    <a:prstGeom prst="rect">
                      <a:avLst/>
                    </a:prstGeom>
                    <a:noFill/>
                    <a:ln>
                      <a:noFill/>
                    </a:ln>
                  </pic:spPr>
                </pic:pic>
              </a:graphicData>
            </a:graphic>
          </wp:inline>
        </w:drawing>
      </w:r>
    </w:p>
    <w:p w14:paraId="17233105" w14:textId="77777777" w:rsidR="00E1647F" w:rsidRDefault="00E1647F" w:rsidP="006F4A4B"/>
    <w:p w14:paraId="293FA980" w14:textId="3E84C92A" w:rsidR="00E1647F" w:rsidRPr="00E1647F" w:rsidRDefault="00E1647F" w:rsidP="00E1647F">
      <w:pPr>
        <w:jc w:val="center"/>
        <w:rPr>
          <w:b/>
        </w:rPr>
      </w:pPr>
      <w:r w:rsidRPr="00E1647F">
        <w:rPr>
          <w:b/>
        </w:rPr>
        <w:t xml:space="preserve">Figure </w:t>
      </w:r>
      <w:r>
        <w:rPr>
          <w:b/>
        </w:rPr>
        <w:t>2</w:t>
      </w:r>
      <w:r w:rsidRPr="00E1647F">
        <w:rPr>
          <w:b/>
        </w:rPr>
        <w:t xml:space="preserve">: TX UE </w:t>
      </w:r>
      <w:r>
        <w:rPr>
          <w:b/>
        </w:rPr>
        <w:t>don’t re</w:t>
      </w:r>
      <w:r w:rsidRPr="00E1647F">
        <w:rPr>
          <w:b/>
        </w:rPr>
        <w:t xml:space="preserve">-transmit when NACK </w:t>
      </w:r>
      <w:r>
        <w:rPr>
          <w:b/>
        </w:rPr>
        <w:t>is too weak (NACK is from out of range RX UE)</w:t>
      </w:r>
      <w:r w:rsidRPr="00E1647F">
        <w:rPr>
          <w:b/>
        </w:rPr>
        <w:t>.</w:t>
      </w:r>
    </w:p>
    <w:p w14:paraId="797C1BB3" w14:textId="77777777" w:rsidR="00E1647F" w:rsidRDefault="00E1647F" w:rsidP="006F4A4B"/>
    <w:p w14:paraId="047A5C8B" w14:textId="7809E399" w:rsidR="006F4A4B" w:rsidRDefault="006F4A4B" w:rsidP="006F4A4B">
      <w:r>
        <w:t xml:space="preserve">From RAN2 perspective, since a V2X message will be associated with a radio bearer at </w:t>
      </w:r>
      <w:r w:rsidR="00B75F5E">
        <w:t>AS layer</w:t>
      </w:r>
      <w:r>
        <w:t xml:space="preserve"> for transmission, </w:t>
      </w:r>
      <w:bookmarkStart w:id="7" w:name="_Hlk1061596"/>
      <w:r>
        <w:t xml:space="preserve">V2X messages with different communication range requirements shall not be multiplexed into the same MAC PDU because PHY may need to apply different </w:t>
      </w:r>
      <w:r w:rsidR="00470141">
        <w:t>HARQ operation</w:t>
      </w:r>
      <w:r>
        <w:t xml:space="preserve"> for different communication ranges.</w:t>
      </w:r>
    </w:p>
    <w:p w14:paraId="575AC9AB" w14:textId="77777777" w:rsidR="00EF6526" w:rsidRDefault="00EF6526" w:rsidP="006F4A4B"/>
    <w:p w14:paraId="45802A7E" w14:textId="01E58143" w:rsidR="00EF6526" w:rsidRPr="00C07123" w:rsidRDefault="001B47DF" w:rsidP="006F4A4B">
      <w:r w:rsidRPr="001B47DF">
        <w:rPr>
          <w:b/>
        </w:rPr>
        <w:t>Proposal 2: RAN2 doesn't multiplex V2X messages with different communication range into the same transport block.</w:t>
      </w:r>
    </w:p>
    <w:bookmarkEnd w:id="7"/>
    <w:p w14:paraId="653D0295" w14:textId="0FF0B632" w:rsidR="006F4A4B" w:rsidRDefault="006F4A4B" w:rsidP="00EF6526">
      <w:pPr>
        <w:pStyle w:val="Proposal"/>
        <w:numPr>
          <w:ilvl w:val="0"/>
          <w:numId w:val="0"/>
        </w:numPr>
      </w:pPr>
    </w:p>
    <w:p w14:paraId="7098EFE8" w14:textId="77777777" w:rsidR="006F4A4B" w:rsidRPr="00E32E8E" w:rsidRDefault="006F4A4B" w:rsidP="006F4A4B">
      <w:pPr>
        <w:pStyle w:val="1"/>
      </w:pPr>
      <w:bookmarkStart w:id="8" w:name="_Ref528871418"/>
      <w:bookmarkEnd w:id="3"/>
      <w:bookmarkEnd w:id="4"/>
      <w:bookmarkEnd w:id="5"/>
      <w:bookmarkEnd w:id="6"/>
      <w:r w:rsidRPr="00E32E8E">
        <w:t>Conclusions</w:t>
      </w:r>
      <w:bookmarkEnd w:id="8"/>
    </w:p>
    <w:p w14:paraId="3638990F" w14:textId="77777777" w:rsidR="006F4A4B" w:rsidRDefault="006F4A4B" w:rsidP="006F4A4B">
      <w:r>
        <w:t xml:space="preserve">In section </w:t>
      </w:r>
      <w:r>
        <w:fldChar w:fldCharType="begin"/>
      </w:r>
      <w:r>
        <w:instrText xml:space="preserve"> REF _Ref490149211 \r \h </w:instrText>
      </w:r>
      <w:r>
        <w:fldChar w:fldCharType="separate"/>
      </w:r>
      <w:r>
        <w:t>2</w:t>
      </w:r>
      <w:r>
        <w:fldChar w:fldCharType="end"/>
      </w:r>
      <w:r>
        <w:t xml:space="preserve"> we made the following observations:</w:t>
      </w:r>
    </w:p>
    <w:p w14:paraId="1412D1C9" w14:textId="77777777" w:rsidR="00C23264" w:rsidRPr="00C23264" w:rsidRDefault="00C23264" w:rsidP="00C23264">
      <w:pPr>
        <w:ind w:left="1440" w:hanging="1440"/>
        <w:rPr>
          <w:b/>
        </w:rPr>
      </w:pPr>
      <w:r w:rsidRPr="00C23264">
        <w:rPr>
          <w:b/>
        </w:rPr>
        <w:lastRenderedPageBreak/>
        <w:t xml:space="preserve">Observation 1: Communication range is a parameter that can be associated with a V2X service and provided from upper layer to AS layer. However, it is not seen as a </w:t>
      </w:r>
      <w:proofErr w:type="spellStart"/>
      <w:r w:rsidRPr="00C23264">
        <w:rPr>
          <w:b/>
        </w:rPr>
        <w:t>QoS</w:t>
      </w:r>
      <w:proofErr w:type="spellEnd"/>
      <w:r w:rsidRPr="00C23264">
        <w:rPr>
          <w:b/>
        </w:rPr>
        <w:t xml:space="preserve"> metric which has to be achieved by AS layer.</w:t>
      </w:r>
    </w:p>
    <w:p w14:paraId="2D64B8F0" w14:textId="3106C078" w:rsidR="006F4A4B" w:rsidRPr="0035699E" w:rsidRDefault="00C23264" w:rsidP="00C23264">
      <w:pPr>
        <w:ind w:left="1440" w:hanging="1440"/>
        <w:rPr>
          <w:b/>
        </w:rPr>
      </w:pPr>
      <w:r w:rsidRPr="00C23264">
        <w:rPr>
          <w:b/>
        </w:rPr>
        <w:t>Observation 2: At access stratum, distance between TX UE and RX UE can be estimated based on received signal power.</w:t>
      </w:r>
    </w:p>
    <w:p w14:paraId="0C17A549" w14:textId="77777777" w:rsidR="006F4A4B" w:rsidRDefault="006F4A4B" w:rsidP="006F4A4B">
      <w:r>
        <w:t xml:space="preserve">Based on the discussion in section </w:t>
      </w:r>
      <w:r>
        <w:fldChar w:fldCharType="begin"/>
      </w:r>
      <w:r>
        <w:instrText xml:space="preserve"> REF _Ref490149211 \r \h </w:instrText>
      </w:r>
      <w:r>
        <w:fldChar w:fldCharType="separate"/>
      </w:r>
      <w:r>
        <w:t>1</w:t>
      </w:r>
      <w:r>
        <w:fldChar w:fldCharType="end"/>
      </w:r>
      <w:r>
        <w:t xml:space="preserve"> we propose the following:</w:t>
      </w:r>
    </w:p>
    <w:p w14:paraId="264CBB25" w14:textId="77777777" w:rsidR="00C23264" w:rsidRPr="00C23264" w:rsidRDefault="00C23264" w:rsidP="00C23264">
      <w:pPr>
        <w:ind w:left="1440" w:hanging="1440"/>
        <w:rPr>
          <w:b/>
        </w:rPr>
      </w:pPr>
      <w:r w:rsidRPr="00C23264">
        <w:rPr>
          <w:b/>
        </w:rPr>
        <w:t>Proposal 1: TX UE may terminate HARQ retransmission on the basis of the energy of the PSFCH and treat a HARQ feedback only if the energy of the associated PSFCH is above a certain threshold.</w:t>
      </w:r>
    </w:p>
    <w:p w14:paraId="0E8E569B" w14:textId="68B44E0F" w:rsidR="006F4A4B" w:rsidRPr="0024002F" w:rsidRDefault="00C23264" w:rsidP="00C23264">
      <w:pPr>
        <w:ind w:left="1440" w:hanging="1440"/>
        <w:rPr>
          <w:b/>
        </w:rPr>
      </w:pPr>
      <w:r w:rsidRPr="00C23264">
        <w:rPr>
          <w:b/>
        </w:rPr>
        <w:t>Proposal 2: RAN2 doesn't mul</w:t>
      </w:r>
      <w:bookmarkStart w:id="9" w:name="_GoBack"/>
      <w:bookmarkEnd w:id="9"/>
      <w:r w:rsidRPr="00C23264">
        <w:rPr>
          <w:b/>
        </w:rPr>
        <w:t>tiplex V2X messages with different communication range into the same transport block.</w:t>
      </w:r>
    </w:p>
    <w:p w14:paraId="059D24F7" w14:textId="77777777" w:rsidR="006F4A4B" w:rsidRDefault="006F4A4B" w:rsidP="006F4A4B">
      <w:pPr>
        <w:pStyle w:val="1"/>
        <w:overflowPunct w:val="0"/>
        <w:autoSpaceDE w:val="0"/>
        <w:autoSpaceDN w:val="0"/>
        <w:adjustRightInd w:val="0"/>
        <w:textAlignment w:val="baseline"/>
      </w:pPr>
      <w:r>
        <w:t>References</w:t>
      </w:r>
    </w:p>
    <w:p w14:paraId="789FCD78" w14:textId="77777777" w:rsidR="006F4A4B" w:rsidRDefault="006F4A4B" w:rsidP="006F4A4B"/>
    <w:p w14:paraId="259A7604" w14:textId="77777777" w:rsidR="006F4A4B" w:rsidRPr="00F85007" w:rsidRDefault="006F4A4B" w:rsidP="006F4A4B">
      <w:pPr>
        <w:pStyle w:val="Reference"/>
        <w:numPr>
          <w:ilvl w:val="0"/>
          <w:numId w:val="0"/>
        </w:numPr>
        <w:ind w:left="567" w:hanging="567"/>
        <w:rPr>
          <w:rFonts w:cs="Arial"/>
          <w:color w:val="312E25"/>
          <w:lang w:eastAsia="sv-SE"/>
        </w:rPr>
      </w:pPr>
    </w:p>
    <w:sectPr w:rsidR="006F4A4B" w:rsidRPr="00F85007"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14918" w14:textId="77777777" w:rsidR="00FA2B97" w:rsidRDefault="00FA2B97">
      <w:pPr>
        <w:pStyle w:val="TAL"/>
      </w:pPr>
      <w:r>
        <w:separator/>
      </w:r>
    </w:p>
  </w:endnote>
  <w:endnote w:type="continuationSeparator" w:id="0">
    <w:p w14:paraId="4B7521F0" w14:textId="77777777" w:rsidR="00FA2B97" w:rsidRDefault="00FA2B9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C23264">
      <w:t>3</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B1E90" w14:textId="77777777" w:rsidR="00FA2B97" w:rsidRDefault="00FA2B97">
      <w:pPr>
        <w:pStyle w:val="TAL"/>
      </w:pPr>
      <w:r>
        <w:separator/>
      </w:r>
    </w:p>
  </w:footnote>
  <w:footnote w:type="continuationSeparator" w:id="0">
    <w:p w14:paraId="205740A7" w14:textId="77777777" w:rsidR="00FA2B97" w:rsidRDefault="00FA2B97">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F60821"/>
    <w:multiLevelType w:val="hybridMultilevel"/>
    <w:tmpl w:val="801C4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EA2652"/>
    <w:multiLevelType w:val="hybridMultilevel"/>
    <w:tmpl w:val="4ED0FA52"/>
    <w:lvl w:ilvl="0" w:tplc="13F26D94">
      <w:numFmt w:val="bullet"/>
      <w:lvlText w:val="-"/>
      <w:lvlJc w:val="left"/>
      <w:pPr>
        <w:ind w:left="720" w:hanging="360"/>
      </w:pPr>
      <w:rPr>
        <w:rFonts w:ascii="Arial" w:eastAsia="Times New Roman"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5101505E"/>
    <w:multiLevelType w:val="hybridMultilevel"/>
    <w:tmpl w:val="E572C69A"/>
    <w:lvl w:ilvl="0" w:tplc="8FF8B4C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9"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4"/>
  </w:num>
  <w:num w:numId="3">
    <w:abstractNumId w:val="18"/>
  </w:num>
  <w:num w:numId="4">
    <w:abstractNumId w:val="13"/>
  </w:num>
  <w:num w:numId="5">
    <w:abstractNumId w:val="6"/>
  </w:num>
  <w:num w:numId="6">
    <w:abstractNumId w:val="5"/>
  </w:num>
  <w:num w:numId="7">
    <w:abstractNumId w:val="23"/>
  </w:num>
  <w:num w:numId="8">
    <w:abstractNumId w:val="22"/>
  </w:num>
  <w:num w:numId="9">
    <w:abstractNumId w:val="0"/>
  </w:num>
  <w:num w:numId="10">
    <w:abstractNumId w:val="4"/>
  </w:num>
  <w:num w:numId="11">
    <w:abstractNumId w:val="17"/>
  </w:num>
  <w:num w:numId="12">
    <w:abstractNumId w:val="21"/>
  </w:num>
  <w:num w:numId="13">
    <w:abstractNumId w:val="20"/>
  </w:num>
  <w:num w:numId="14">
    <w:abstractNumId w:val="3"/>
  </w:num>
  <w:num w:numId="15">
    <w:abstractNumId w:val="15"/>
  </w:num>
  <w:num w:numId="16">
    <w:abstractNumId w:val="9"/>
  </w:num>
  <w:num w:numId="17">
    <w:abstractNumId w:val="19"/>
  </w:num>
  <w:num w:numId="18">
    <w:abstractNumId w:val="1"/>
  </w:num>
  <w:num w:numId="19">
    <w:abstractNumId w:val="16"/>
  </w:num>
  <w:num w:numId="20">
    <w:abstractNumId w:val="2"/>
  </w:num>
  <w:num w:numId="21">
    <w:abstractNumId w:val="7"/>
  </w:num>
  <w:num w:numId="22">
    <w:abstractNumId w:val="12"/>
  </w:num>
  <w:num w:numId="23">
    <w:abstractNumId w:val="10"/>
  </w:num>
  <w:num w:numId="24">
    <w:abstractNumId w:val="14"/>
  </w:num>
  <w:num w:numId="2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F18"/>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7B2"/>
    <w:rsid w:val="00022A1C"/>
    <w:rsid w:val="000235B8"/>
    <w:rsid w:val="00023A66"/>
    <w:rsid w:val="00023AE2"/>
    <w:rsid w:val="000244C9"/>
    <w:rsid w:val="00024762"/>
    <w:rsid w:val="00024983"/>
    <w:rsid w:val="00024B57"/>
    <w:rsid w:val="000257A4"/>
    <w:rsid w:val="000266A5"/>
    <w:rsid w:val="00026C91"/>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5F"/>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373"/>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47DF"/>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7E3"/>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955"/>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07D"/>
    <w:rsid w:val="00280849"/>
    <w:rsid w:val="002817B9"/>
    <w:rsid w:val="00281A65"/>
    <w:rsid w:val="00281CC8"/>
    <w:rsid w:val="00282096"/>
    <w:rsid w:val="002824E6"/>
    <w:rsid w:val="00282F7A"/>
    <w:rsid w:val="0028383A"/>
    <w:rsid w:val="00283911"/>
    <w:rsid w:val="00283C75"/>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2B00"/>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7BE"/>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141"/>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4F9"/>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10E"/>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59D"/>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A4B"/>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244"/>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DB"/>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AC3"/>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B63"/>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E87"/>
    <w:rsid w:val="008D2403"/>
    <w:rsid w:val="008D24E7"/>
    <w:rsid w:val="008D327E"/>
    <w:rsid w:val="008D3461"/>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DE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67FF3"/>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2BD1"/>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5F5E"/>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6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688"/>
    <w:rsid w:val="00BE79D4"/>
    <w:rsid w:val="00BF070B"/>
    <w:rsid w:val="00BF184B"/>
    <w:rsid w:val="00BF1927"/>
    <w:rsid w:val="00BF21AF"/>
    <w:rsid w:val="00BF2D40"/>
    <w:rsid w:val="00BF3619"/>
    <w:rsid w:val="00BF36D6"/>
    <w:rsid w:val="00BF37D8"/>
    <w:rsid w:val="00BF3A6F"/>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264"/>
    <w:rsid w:val="00C2359E"/>
    <w:rsid w:val="00C2363D"/>
    <w:rsid w:val="00C2367E"/>
    <w:rsid w:val="00C24176"/>
    <w:rsid w:val="00C24635"/>
    <w:rsid w:val="00C2491D"/>
    <w:rsid w:val="00C25099"/>
    <w:rsid w:val="00C25C5D"/>
    <w:rsid w:val="00C263BA"/>
    <w:rsid w:val="00C2663B"/>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303"/>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47F"/>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52"/>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526"/>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968"/>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2B97"/>
    <w:rsid w:val="00FA55DC"/>
    <w:rsid w:val="00FA5984"/>
    <w:rsid w:val="00FA5A2D"/>
    <w:rsid w:val="00FA6BD6"/>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B7F82"/>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0E3D"/>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0"/>
    <w:semiHidden/>
    <w:rsid w:val="00630138"/>
    <w:rPr>
      <w:rFonts w:ascii="Tahoma" w:hAnsi="Tahoma" w:cs="Tahoma"/>
      <w:sz w:val="16"/>
      <w:szCs w:val="16"/>
    </w:rPr>
  </w:style>
  <w:style w:type="paragraph" w:styleId="af9">
    <w:name w:val="annotation subject"/>
    <w:basedOn w:val="af7"/>
    <w:next w:val="af7"/>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
    <w:basedOn w:val="a0"/>
    <w:link w:val="afc"/>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c">
    <w:name w:val="清單段落 字元"/>
    <w:aliases w:val="- Bullets 字元,목록 단락 字元,列出段落 字元,?? ?? 字元,????? 字元,???? 字元,Lista1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paragraph" w:customStyle="1" w:styleId="Reference">
    <w:name w:val="Reference"/>
    <w:basedOn w:val="a0"/>
    <w:rsid w:val="006F4A4B"/>
    <w:pPr>
      <w:numPr>
        <w:numId w:val="22"/>
      </w:num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paragraph" w:customStyle="1" w:styleId="Proposal">
    <w:name w:val="Proposal"/>
    <w:basedOn w:val="a0"/>
    <w:qFormat/>
    <w:rsid w:val="006F4A4B"/>
    <w:pPr>
      <w:numPr>
        <w:numId w:val="2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zh-CN"/>
    </w:rPr>
  </w:style>
  <w:style w:type="paragraph" w:customStyle="1" w:styleId="Observation">
    <w:name w:val="Observation"/>
    <w:basedOn w:val="Proposal"/>
    <w:qFormat/>
    <w:rsid w:val="006F4A4B"/>
    <w:pPr>
      <w:numPr>
        <w:numId w:val="24"/>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80AB7-9C7B-43F6-B9E1-CFCDCA8C5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3</Pages>
  <Words>593</Words>
  <Characters>3383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 (鄭名淵)</cp:lastModifiedBy>
  <cp:revision>31</cp:revision>
  <cp:lastPrinted>2007-12-21T03:58:00Z</cp:lastPrinted>
  <dcterms:created xsi:type="dcterms:W3CDTF">2019-03-20T20:29:00Z</dcterms:created>
  <dcterms:modified xsi:type="dcterms:W3CDTF">2019-03-28T06:43:00Z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